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81" w:rsidRPr="000A7CD4" w:rsidRDefault="000A7CD4" w:rsidP="000A7CD4">
      <w:pPr>
        <w:jc w:val="both"/>
        <w:rPr>
          <w:rFonts w:ascii="Times New Roman" w:hAnsi="Times New Roman" w:cs="Times New Roman"/>
          <w:sz w:val="24"/>
          <w:szCs w:val="24"/>
        </w:rPr>
      </w:pPr>
      <w:r w:rsidRPr="000A7CD4">
        <w:rPr>
          <w:rFonts w:ascii="Times New Roman" w:hAnsi="Times New Roman" w:cs="Times New Roman"/>
          <w:sz w:val="24"/>
          <w:szCs w:val="24"/>
        </w:rPr>
        <w:t>Modificaciones</w:t>
      </w:r>
    </w:p>
    <w:p w:rsidR="000A7CD4" w:rsidRDefault="000A7CD4" w:rsidP="000A7CD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CD4">
        <w:rPr>
          <w:rFonts w:ascii="Times New Roman" w:hAnsi="Times New Roman" w:cs="Times New Roman"/>
          <w:sz w:val="24"/>
          <w:szCs w:val="24"/>
        </w:rPr>
        <w:t xml:space="preserve">La escritura del artículo fue revisada en su totalidad. No se introdujeron cambios substanciales de forma o contenido pero se buscó, siguiendo la sugerencia de los réferis, dar mayor fluidez a la lectura, puliendo la gramática </w:t>
      </w:r>
      <w:r>
        <w:rPr>
          <w:rFonts w:ascii="Times New Roman" w:hAnsi="Times New Roman" w:cs="Times New Roman"/>
          <w:sz w:val="24"/>
          <w:szCs w:val="24"/>
        </w:rPr>
        <w:t>y evitando algunas repeticiones.</w:t>
      </w:r>
    </w:p>
    <w:p w:rsidR="000A7CD4" w:rsidRPr="000A7CD4" w:rsidRDefault="000A7CD4" w:rsidP="000A7CD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0A7CD4" w:rsidRDefault="000A7CD4" w:rsidP="000A7CD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CD4">
        <w:rPr>
          <w:rFonts w:ascii="Times New Roman" w:hAnsi="Times New Roman" w:cs="Times New Roman"/>
          <w:sz w:val="24"/>
          <w:szCs w:val="24"/>
        </w:rPr>
        <w:t>Se reemplazaron los números por subtítulos.</w:t>
      </w:r>
    </w:p>
    <w:p w:rsidR="000A7CD4" w:rsidRPr="000A7CD4" w:rsidRDefault="000A7CD4" w:rsidP="000A7CD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0A7CD4" w:rsidRPr="000A7CD4" w:rsidRDefault="000A7CD4" w:rsidP="000A7CD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CD4">
        <w:rPr>
          <w:rFonts w:ascii="Times New Roman" w:hAnsi="Times New Roman" w:cs="Times New Roman"/>
          <w:sz w:val="24"/>
          <w:szCs w:val="24"/>
        </w:rPr>
        <w:t xml:space="preserve">Se incorporó nueva bibliografía según indicación de los evaluadores (D. </w:t>
      </w:r>
      <w:proofErr w:type="spellStart"/>
      <w:r w:rsidRPr="000A7CD4">
        <w:rPr>
          <w:rFonts w:ascii="Times New Roman" w:hAnsi="Times New Roman" w:cs="Times New Roman"/>
          <w:sz w:val="24"/>
          <w:szCs w:val="24"/>
        </w:rPr>
        <w:t>Hervie</w:t>
      </w:r>
      <w:proofErr w:type="spellEnd"/>
      <w:r w:rsidRPr="000A7C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A7CD4">
        <w:rPr>
          <w:rFonts w:ascii="Times New Roman" w:hAnsi="Times New Roman" w:cs="Times New Roman"/>
          <w:sz w:val="24"/>
          <w:szCs w:val="24"/>
        </w:rPr>
        <w:t>Leger</w:t>
      </w:r>
      <w:proofErr w:type="spellEnd"/>
      <w:r w:rsidRPr="000A7CD4">
        <w:rPr>
          <w:rFonts w:ascii="Times New Roman" w:hAnsi="Times New Roman" w:cs="Times New Roman"/>
          <w:sz w:val="24"/>
          <w:szCs w:val="24"/>
        </w:rPr>
        <w:t xml:space="preserve"> en el primer apartado de índole más teórica e introductoria</w:t>
      </w:r>
      <w:r w:rsidR="00111CE3">
        <w:rPr>
          <w:rFonts w:ascii="Times New Roman" w:hAnsi="Times New Roman" w:cs="Times New Roman"/>
          <w:sz w:val="24"/>
          <w:szCs w:val="24"/>
        </w:rPr>
        <w:t>,</w:t>
      </w:r>
      <w:r w:rsidRPr="000A7CD4">
        <w:rPr>
          <w:rFonts w:ascii="Times New Roman" w:hAnsi="Times New Roman" w:cs="Times New Roman"/>
          <w:sz w:val="24"/>
          <w:szCs w:val="24"/>
        </w:rPr>
        <w:t xml:space="preserve"> y una compilación de C.</w:t>
      </w:r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Langlois</w:t>
      </w:r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y C.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Sorrel</w:t>
      </w:r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más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directamente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relacionada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con las formas de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organización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del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neocatolicismo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).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Asimismo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, se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agregaron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algunos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textos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sobre el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caso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español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orientados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a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facilitar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el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ejercicio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comparado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 (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Lago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,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Suárez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Cortina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,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Montero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 xml:space="preserve">, De la Cueva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Merino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val="fr-FR" w:eastAsia="es-ES_tradnl"/>
        </w:rPr>
        <w:t>).</w:t>
      </w:r>
    </w:p>
    <w:p w:rsidR="000A7CD4" w:rsidRPr="000A7CD4" w:rsidRDefault="000A7CD4" w:rsidP="000A7CD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0A7CD4" w:rsidRPr="000A7CD4" w:rsidRDefault="000A7CD4" w:rsidP="000A7CD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CD4"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 xml:space="preserve">Se modificó el </w:t>
      </w:r>
      <w:proofErr w:type="spellStart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>abstract</w:t>
      </w:r>
      <w:proofErr w:type="spellEnd"/>
      <w:r w:rsidRPr="000A7CD4"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 xml:space="preserve"> quitando la ref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>erencia a los estudios comparados, puesto</w:t>
      </w:r>
      <w:r w:rsidRPr="000A7CD4"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 xml:space="preserve"> que el artículo sólo insinúa 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>dicha</w:t>
      </w:r>
      <w:r w:rsidRPr="000A7CD4"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 xml:space="preserve"> senda pero no la transita. También se siguió</w:t>
      </w:r>
      <w:r w:rsidR="00111CE3"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 xml:space="preserve"> en este cambio</w:t>
      </w:r>
      <w:r w:rsidRPr="000A7CD4">
        <w:rPr>
          <w:rFonts w:ascii="Times New Roman" w:hAnsi="Times New Roman" w:cs="Times New Roman"/>
          <w:bCs/>
          <w:kern w:val="36"/>
          <w:sz w:val="24"/>
          <w:szCs w:val="24"/>
          <w:lang w:eastAsia="es-ES_tradnl"/>
        </w:rPr>
        <w:t xml:space="preserve"> las observaciones de los réferis.</w:t>
      </w:r>
    </w:p>
    <w:sectPr w:rsidR="000A7CD4" w:rsidRPr="000A7CD4" w:rsidSect="00D76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57ED3"/>
    <w:multiLevelType w:val="hybridMultilevel"/>
    <w:tmpl w:val="6C78B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7CD4"/>
    <w:rsid w:val="000A7CD4"/>
    <w:rsid w:val="00111CE3"/>
    <w:rsid w:val="00872705"/>
    <w:rsid w:val="00B5163D"/>
    <w:rsid w:val="00D7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Mauro</dc:creator>
  <cp:lastModifiedBy>Diego Mauro</cp:lastModifiedBy>
  <cp:revision>2</cp:revision>
  <dcterms:created xsi:type="dcterms:W3CDTF">2014-11-18T20:44:00Z</dcterms:created>
  <dcterms:modified xsi:type="dcterms:W3CDTF">2014-11-18T20:55:00Z</dcterms:modified>
</cp:coreProperties>
</file>