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FD" w:rsidRPr="00CD2AB4" w:rsidRDefault="00AD5AFD" w:rsidP="00AD5AFD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es-AR"/>
        </w:rPr>
      </w:pPr>
      <w:bookmarkStart w:id="0" w:name="_GoBack"/>
      <w:bookmarkEnd w:id="0"/>
      <w:r w:rsidRPr="00AD5AFD">
        <w:rPr>
          <w:rFonts w:ascii="Times New Roman" w:hAnsi="Times New Roman"/>
          <w:sz w:val="24"/>
          <w:szCs w:val="24"/>
        </w:rPr>
        <w:t xml:space="preserve">GRÁFICO 1. Ocupación de la tierra 2000 – 2015. </w:t>
      </w:r>
      <w:proofErr w:type="spellStart"/>
      <w:r w:rsidRPr="00AD5AFD">
        <w:rPr>
          <w:rFonts w:ascii="Times New Roman" w:hAnsi="Times New Roman"/>
          <w:sz w:val="24"/>
          <w:szCs w:val="24"/>
        </w:rPr>
        <w:t>Burruyacú</w:t>
      </w:r>
      <w:proofErr w:type="spellEnd"/>
      <w:r w:rsidRPr="00AD5AFD">
        <w:rPr>
          <w:rFonts w:ascii="Times New Roman" w:hAnsi="Times New Roman"/>
          <w:sz w:val="24"/>
          <w:szCs w:val="24"/>
        </w:rPr>
        <w:t>.</w:t>
      </w:r>
      <w:r w:rsidRPr="00CD2AB4">
        <w:rPr>
          <w:rFonts w:ascii="Times New Roman" w:hAnsi="Times New Roman"/>
          <w:noProof/>
          <w:sz w:val="24"/>
          <w:szCs w:val="24"/>
          <w:lang w:eastAsia="es-AR"/>
        </w:rPr>
        <w:drawing>
          <wp:inline distT="0" distB="0" distL="0" distR="0" wp14:anchorId="7178250C" wp14:editId="29321FAB">
            <wp:extent cx="5267325" cy="1534160"/>
            <wp:effectExtent l="0" t="0" r="9525" b="27940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D5AFD" w:rsidRPr="00CD2AB4" w:rsidRDefault="00AD5AFD" w:rsidP="00AD5A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2AB4">
        <w:rPr>
          <w:rFonts w:ascii="Times New Roman" w:hAnsi="Times New Roman"/>
          <w:sz w:val="20"/>
          <w:szCs w:val="20"/>
        </w:rPr>
        <w:t>Fuente: Elaboración propia en base “Relevamientos satelitales de los cultivos de la provincia de Tucumán” elaborados por la EEAOC</w:t>
      </w:r>
      <w:r>
        <w:rPr>
          <w:rFonts w:ascii="Times New Roman" w:hAnsi="Times New Roman"/>
          <w:sz w:val="24"/>
          <w:szCs w:val="24"/>
        </w:rPr>
        <w:t>.</w:t>
      </w:r>
    </w:p>
    <w:p w:rsidR="00317FC8" w:rsidRDefault="00317FC8"/>
    <w:sectPr w:rsidR="00317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D8" w:rsidRDefault="006010D8" w:rsidP="00AD5AFD">
      <w:pPr>
        <w:spacing w:after="0" w:line="240" w:lineRule="auto"/>
      </w:pPr>
      <w:r>
        <w:separator/>
      </w:r>
    </w:p>
  </w:endnote>
  <w:endnote w:type="continuationSeparator" w:id="0">
    <w:p w:rsidR="006010D8" w:rsidRDefault="006010D8" w:rsidP="00AD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C9" w:rsidRDefault="009512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C9" w:rsidRDefault="009512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C9" w:rsidRDefault="009512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D8" w:rsidRDefault="006010D8" w:rsidP="00AD5AFD">
      <w:pPr>
        <w:spacing w:after="0" w:line="240" w:lineRule="auto"/>
      </w:pPr>
      <w:r>
        <w:separator/>
      </w:r>
    </w:p>
  </w:footnote>
  <w:footnote w:type="continuationSeparator" w:id="0">
    <w:p w:rsidR="006010D8" w:rsidRDefault="006010D8" w:rsidP="00AD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C9" w:rsidRDefault="009512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C9" w:rsidRDefault="009512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C9" w:rsidRDefault="009512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FD"/>
    <w:rsid w:val="00317FC8"/>
    <w:rsid w:val="006010D8"/>
    <w:rsid w:val="009512C9"/>
    <w:rsid w:val="00AD5AFD"/>
    <w:rsid w:val="00B8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A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D5AF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AD5A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D5AFD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5AF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F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2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1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2C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A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D5AF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AD5A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D5AFD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5AF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AF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2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1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2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Facundo\Documents\Beca%20PICT\Datos%20secundarios\Superficie%20implantada%20por%20cultivo-datos%20EEAOC-Direcci&#243;n%20de%20Estad&#237;sticas%20Tucum&#225;n-INTA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A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GRÁFICO!$B$1</c:f>
              <c:strCache>
                <c:ptCount val="1"/>
                <c:pt idx="0">
                  <c:v>Soja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cat>
            <c:strRef>
              <c:f>GRÁFICO!$A$2:$A$16</c:f>
              <c:strCache>
                <c:ptCount val="15"/>
                <c:pt idx="0">
                  <c:v>2014/2015</c:v>
                </c:pt>
                <c:pt idx="1">
                  <c:v>2013/2014</c:v>
                </c:pt>
                <c:pt idx="2">
                  <c:v>2012/2013</c:v>
                </c:pt>
                <c:pt idx="3">
                  <c:v>2011/2012</c:v>
                </c:pt>
                <c:pt idx="4">
                  <c:v>2010/2011</c:v>
                </c:pt>
                <c:pt idx="5">
                  <c:v>2009/2010</c:v>
                </c:pt>
                <c:pt idx="6">
                  <c:v>2008/2009</c:v>
                </c:pt>
                <c:pt idx="7">
                  <c:v>2007/2008</c:v>
                </c:pt>
                <c:pt idx="8">
                  <c:v>2006/2007</c:v>
                </c:pt>
                <c:pt idx="9">
                  <c:v>2005/2006</c:v>
                </c:pt>
                <c:pt idx="10">
                  <c:v>2004/2005</c:v>
                </c:pt>
                <c:pt idx="11">
                  <c:v>2003/2004</c:v>
                </c:pt>
                <c:pt idx="12">
                  <c:v>2002/2003</c:v>
                </c:pt>
                <c:pt idx="13">
                  <c:v>2001/2002</c:v>
                </c:pt>
                <c:pt idx="14">
                  <c:v>2000/2001</c:v>
                </c:pt>
              </c:strCache>
            </c:strRef>
          </c:cat>
          <c:val>
            <c:numRef>
              <c:f>GRÁFICO!$B$2:$B$16</c:f>
              <c:numCache>
                <c:formatCode>General</c:formatCode>
                <c:ptCount val="15"/>
                <c:pt idx="0">
                  <c:v>73060</c:v>
                </c:pt>
                <c:pt idx="1">
                  <c:v>72200</c:v>
                </c:pt>
                <c:pt idx="2">
                  <c:v>71380</c:v>
                </c:pt>
                <c:pt idx="3">
                  <c:v>91860</c:v>
                </c:pt>
                <c:pt idx="4">
                  <c:v>106360</c:v>
                </c:pt>
                <c:pt idx="5">
                  <c:v>112190</c:v>
                </c:pt>
                <c:pt idx="6">
                  <c:v>121820</c:v>
                </c:pt>
                <c:pt idx="7">
                  <c:v>115750</c:v>
                </c:pt>
                <c:pt idx="8">
                  <c:v>117350</c:v>
                </c:pt>
                <c:pt idx="9">
                  <c:v>123760</c:v>
                </c:pt>
                <c:pt idx="10">
                  <c:v>114820</c:v>
                </c:pt>
                <c:pt idx="11">
                  <c:v>115110</c:v>
                </c:pt>
                <c:pt idx="12">
                  <c:v>101800</c:v>
                </c:pt>
                <c:pt idx="13">
                  <c:v>102040</c:v>
                </c:pt>
                <c:pt idx="14">
                  <c:v>113224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GRÁFICO!$C$1</c:f>
              <c:strCache>
                <c:ptCount val="1"/>
                <c:pt idx="0">
                  <c:v>Maíz</c:v>
                </c:pt>
              </c:strCache>
            </c:strRef>
          </c:tx>
          <c:spPr>
            <a:ln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marker>
            <c:spPr>
              <a:solidFill>
                <a:sysClr val="windowText" lastClr="000000">
                  <a:lumMod val="65000"/>
                  <a:lumOff val="35000"/>
                </a:sysClr>
              </a:solidFill>
              <a:ln>
                <a:solidFill>
                  <a:sysClr val="windowText" lastClr="000000">
                    <a:lumMod val="75000"/>
                    <a:lumOff val="25000"/>
                  </a:sysClr>
                </a:solidFill>
              </a:ln>
            </c:spPr>
          </c:marker>
          <c:cat>
            <c:strRef>
              <c:f>GRÁFICO!$A$2:$A$16</c:f>
              <c:strCache>
                <c:ptCount val="15"/>
                <c:pt idx="0">
                  <c:v>2014/2015</c:v>
                </c:pt>
                <c:pt idx="1">
                  <c:v>2013/2014</c:v>
                </c:pt>
                <c:pt idx="2">
                  <c:v>2012/2013</c:v>
                </c:pt>
                <c:pt idx="3">
                  <c:v>2011/2012</c:v>
                </c:pt>
                <c:pt idx="4">
                  <c:v>2010/2011</c:v>
                </c:pt>
                <c:pt idx="5">
                  <c:v>2009/2010</c:v>
                </c:pt>
                <c:pt idx="6">
                  <c:v>2008/2009</c:v>
                </c:pt>
                <c:pt idx="7">
                  <c:v>2007/2008</c:v>
                </c:pt>
                <c:pt idx="8">
                  <c:v>2006/2007</c:v>
                </c:pt>
                <c:pt idx="9">
                  <c:v>2005/2006</c:v>
                </c:pt>
                <c:pt idx="10">
                  <c:v>2004/2005</c:v>
                </c:pt>
                <c:pt idx="11">
                  <c:v>2003/2004</c:v>
                </c:pt>
                <c:pt idx="12">
                  <c:v>2002/2003</c:v>
                </c:pt>
                <c:pt idx="13">
                  <c:v>2001/2002</c:v>
                </c:pt>
                <c:pt idx="14">
                  <c:v>2000/2001</c:v>
                </c:pt>
              </c:strCache>
            </c:strRef>
          </c:cat>
          <c:val>
            <c:numRef>
              <c:f>GRÁFICO!$C$2:$C$16</c:f>
              <c:numCache>
                <c:formatCode>General</c:formatCode>
                <c:ptCount val="15"/>
                <c:pt idx="0">
                  <c:v>35530</c:v>
                </c:pt>
                <c:pt idx="1">
                  <c:v>43970</c:v>
                </c:pt>
                <c:pt idx="2">
                  <c:v>31445</c:v>
                </c:pt>
                <c:pt idx="3">
                  <c:v>38600</c:v>
                </c:pt>
                <c:pt idx="4">
                  <c:v>28710</c:v>
                </c:pt>
                <c:pt idx="5">
                  <c:v>30740</c:v>
                </c:pt>
                <c:pt idx="6">
                  <c:v>23490</c:v>
                </c:pt>
                <c:pt idx="7">
                  <c:v>25590</c:v>
                </c:pt>
                <c:pt idx="8">
                  <c:v>26750</c:v>
                </c:pt>
                <c:pt idx="9">
                  <c:v>17140</c:v>
                </c:pt>
                <c:pt idx="10">
                  <c:v>19710</c:v>
                </c:pt>
                <c:pt idx="11">
                  <c:v>19250</c:v>
                </c:pt>
                <c:pt idx="12">
                  <c:v>16350</c:v>
                </c:pt>
                <c:pt idx="13">
                  <c:v>19340</c:v>
                </c:pt>
                <c:pt idx="14">
                  <c:v>16807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GRÁFICO!$D$1</c:f>
              <c:strCache>
                <c:ptCount val="1"/>
                <c:pt idx="0">
                  <c:v>Trigo</c:v>
                </c:pt>
              </c:strCache>
            </c:strRef>
          </c:tx>
          <c:spPr>
            <a:ln>
              <a:solidFill>
                <a:sysClr val="window" lastClr="FFFFFF">
                  <a:lumMod val="85000"/>
                </a:sysClr>
              </a:solidFill>
            </a:ln>
          </c:spPr>
          <c:marker>
            <c:spPr>
              <a:solidFill>
                <a:sysClr val="window" lastClr="FFFFFF">
                  <a:lumMod val="85000"/>
                </a:sysClr>
              </a:solidFill>
              <a:ln>
                <a:solidFill>
                  <a:sysClr val="window" lastClr="FFFFFF">
                    <a:lumMod val="85000"/>
                  </a:sysClr>
                </a:solidFill>
              </a:ln>
            </c:spPr>
          </c:marker>
          <c:cat>
            <c:strRef>
              <c:f>GRÁFICO!$A$2:$A$16</c:f>
              <c:strCache>
                <c:ptCount val="15"/>
                <c:pt idx="0">
                  <c:v>2014/2015</c:v>
                </c:pt>
                <c:pt idx="1">
                  <c:v>2013/2014</c:v>
                </c:pt>
                <c:pt idx="2">
                  <c:v>2012/2013</c:v>
                </c:pt>
                <c:pt idx="3">
                  <c:v>2011/2012</c:v>
                </c:pt>
                <c:pt idx="4">
                  <c:v>2010/2011</c:v>
                </c:pt>
                <c:pt idx="5">
                  <c:v>2009/2010</c:v>
                </c:pt>
                <c:pt idx="6">
                  <c:v>2008/2009</c:v>
                </c:pt>
                <c:pt idx="7">
                  <c:v>2007/2008</c:v>
                </c:pt>
                <c:pt idx="8">
                  <c:v>2006/2007</c:v>
                </c:pt>
                <c:pt idx="9">
                  <c:v>2005/2006</c:v>
                </c:pt>
                <c:pt idx="10">
                  <c:v>2004/2005</c:v>
                </c:pt>
                <c:pt idx="11">
                  <c:v>2003/2004</c:v>
                </c:pt>
                <c:pt idx="12">
                  <c:v>2002/2003</c:v>
                </c:pt>
                <c:pt idx="13">
                  <c:v>2001/2002</c:v>
                </c:pt>
                <c:pt idx="14">
                  <c:v>2000/2001</c:v>
                </c:pt>
              </c:strCache>
            </c:strRef>
          </c:cat>
          <c:val>
            <c:numRef>
              <c:f>GRÁFICO!$D$2:$D$16</c:f>
              <c:numCache>
                <c:formatCode>General</c:formatCode>
                <c:ptCount val="15"/>
                <c:pt idx="0">
                  <c:v>32360</c:v>
                </c:pt>
                <c:pt idx="1">
                  <c:v>31280</c:v>
                </c:pt>
                <c:pt idx="2">
                  <c:v>500</c:v>
                </c:pt>
                <c:pt idx="3">
                  <c:v>10490</c:v>
                </c:pt>
                <c:pt idx="4">
                  <c:v>56490</c:v>
                </c:pt>
                <c:pt idx="5">
                  <c:v>80720</c:v>
                </c:pt>
                <c:pt idx="6">
                  <c:v>83300</c:v>
                </c:pt>
                <c:pt idx="7">
                  <c:v>95280</c:v>
                </c:pt>
                <c:pt idx="8">
                  <c:v>96540</c:v>
                </c:pt>
                <c:pt idx="9">
                  <c:v>103760</c:v>
                </c:pt>
                <c:pt idx="10">
                  <c:v>85530</c:v>
                </c:pt>
                <c:pt idx="11">
                  <c:v>85820</c:v>
                </c:pt>
                <c:pt idx="12">
                  <c:v>55712</c:v>
                </c:pt>
                <c:pt idx="13">
                  <c:v>68780</c:v>
                </c:pt>
                <c:pt idx="14">
                  <c:v>82950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GRÁFICO!$E$1</c:f>
              <c:strCache>
                <c:ptCount val="1"/>
                <c:pt idx="0">
                  <c:v>Caña de azúcar</c:v>
                </c:pt>
              </c:strCache>
            </c:strRef>
          </c:tx>
          <c:marker>
            <c:spPr>
              <a:solidFill>
                <a:sysClr val="window" lastClr="FFFFFF">
                  <a:lumMod val="50000"/>
                </a:sysClr>
              </a:solidFill>
            </c:spPr>
          </c:marker>
          <c:cat>
            <c:strRef>
              <c:f>GRÁFICO!$A$2:$A$16</c:f>
              <c:strCache>
                <c:ptCount val="15"/>
                <c:pt idx="0">
                  <c:v>2014/2015</c:v>
                </c:pt>
                <c:pt idx="1">
                  <c:v>2013/2014</c:v>
                </c:pt>
                <c:pt idx="2">
                  <c:v>2012/2013</c:v>
                </c:pt>
                <c:pt idx="3">
                  <c:v>2011/2012</c:v>
                </c:pt>
                <c:pt idx="4">
                  <c:v>2010/2011</c:v>
                </c:pt>
                <c:pt idx="5">
                  <c:v>2009/2010</c:v>
                </c:pt>
                <c:pt idx="6">
                  <c:v>2008/2009</c:v>
                </c:pt>
                <c:pt idx="7">
                  <c:v>2007/2008</c:v>
                </c:pt>
                <c:pt idx="8">
                  <c:v>2006/2007</c:v>
                </c:pt>
                <c:pt idx="9">
                  <c:v>2005/2006</c:v>
                </c:pt>
                <c:pt idx="10">
                  <c:v>2004/2005</c:v>
                </c:pt>
                <c:pt idx="11">
                  <c:v>2003/2004</c:v>
                </c:pt>
                <c:pt idx="12">
                  <c:v>2002/2003</c:v>
                </c:pt>
                <c:pt idx="13">
                  <c:v>2001/2002</c:v>
                </c:pt>
                <c:pt idx="14">
                  <c:v>2000/2001</c:v>
                </c:pt>
              </c:strCache>
            </c:strRef>
          </c:cat>
          <c:val>
            <c:numRef>
              <c:f>GRÁFICO!$E$2:$E$16</c:f>
              <c:numCache>
                <c:formatCode>General</c:formatCode>
                <c:ptCount val="15"/>
                <c:pt idx="0">
                  <c:v>29950</c:v>
                </c:pt>
                <c:pt idx="1">
                  <c:v>28200</c:v>
                </c:pt>
                <c:pt idx="2">
                  <c:v>31960</c:v>
                </c:pt>
                <c:pt idx="3">
                  <c:v>27000</c:v>
                </c:pt>
                <c:pt idx="4">
                  <c:v>18950</c:v>
                </c:pt>
                <c:pt idx="5">
                  <c:v>14520</c:v>
                </c:pt>
                <c:pt idx="6">
                  <c:v>14810</c:v>
                </c:pt>
                <c:pt idx="7">
                  <c:v>13800</c:v>
                </c:pt>
                <c:pt idx="8">
                  <c:v>12400</c:v>
                </c:pt>
                <c:pt idx="9">
                  <c:v>9640</c:v>
                </c:pt>
                <c:pt idx="10">
                  <c:v>10570</c:v>
                </c:pt>
                <c:pt idx="11">
                  <c:v>10960</c:v>
                </c:pt>
                <c:pt idx="12">
                  <c:v>10340</c:v>
                </c:pt>
                <c:pt idx="13">
                  <c:v>10100</c:v>
                </c:pt>
                <c:pt idx="14">
                  <c:v>9820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2074368"/>
        <c:axId val="182146944"/>
      </c:lineChart>
      <c:catAx>
        <c:axId val="182074368"/>
        <c:scaling>
          <c:orientation val="maxMin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182146944"/>
        <c:crosses val="autoZero"/>
        <c:auto val="1"/>
        <c:lblAlgn val="ctr"/>
        <c:lblOffset val="100"/>
        <c:noMultiLvlLbl val="0"/>
      </c:catAx>
      <c:valAx>
        <c:axId val="182146944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82074368"/>
        <c:crosses val="autoZero"/>
        <c:crossBetween val="between"/>
      </c:valAx>
    </c:plotArea>
    <c:legend>
      <c:legendPos val="r"/>
      <c:overlay val="0"/>
      <c:spPr>
        <a:solidFill>
          <a:sysClr val="window" lastClr="FFFFFF">
            <a:lumMod val="95000"/>
          </a:sysClr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2017-06-08T19:44:00Z</dcterms:created>
  <dcterms:modified xsi:type="dcterms:W3CDTF">2017-06-08T19:44:00Z</dcterms:modified>
</cp:coreProperties>
</file>